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520" w:after="60" w:line="240" w:lineRule="auto"/>
      </w:pPr>
      <w:r>
        <w:rPr>
          <w:rFonts w:ascii="Calibri" w:hAnsi="Calibri"/>
          <w:b/>
          <w:color w:val="061A2E"/>
          <w:sz w:val="30"/>
        </w:rPr>
        <w:t>NAIRA</w:t>
      </w:r>
      <w:r>
        <w:rPr>
          <w:rFonts w:ascii="Calibri" w:hAnsi="Calibri"/>
          <w:b/>
          <w:color w:val="14D98A"/>
          <w:sz w:val="30"/>
        </w:rPr>
        <w:t>FX</w:t>
      </w:r>
    </w:p>
    <w:p>
      <w:pPr>
        <w:keepNext w:val="0"/>
        <w:spacing w:before="0" w:after="140" w:line="252" w:lineRule="auto"/>
      </w:pPr>
      <w:r>
        <w:rPr>
          <w:rFonts w:ascii="Calibri" w:hAnsi="Calibri"/>
          <w:b/>
          <w:color w:val="061A2E"/>
          <w:sz w:val="58"/>
        </w:rPr>
        <w:t>Your Member Walkthrough</w:t>
      </w:r>
    </w:p>
    <w:p>
      <w:pPr>
        <w:keepNext w:val="0"/>
        <w:spacing w:before="0" w:after="360" w:line="288" w:lineRule="auto"/>
      </w:pPr>
      <w:r>
        <w:rPr>
          <w:rFonts w:ascii="Calibri" w:hAnsi="Calibri"/>
          <w:color w:val="66788A"/>
          <w:sz w:val="28"/>
        </w:rPr>
        <w:t>A practical guide from your first dashboard visit to safer, more confident trading.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5" w:type="dxa"/>
              <w:start w:w="180" w:type="dxa"/>
              <w:bottom w:w="125" w:type="dxa"/>
              <w:end w:w="180" w:type="dxa"/>
            </w:tcMar>
            <w:vAlign w:val="center"/>
            <w:shd w:fill="E9FAF3"/>
            <w:tcBorders>
              <w:top w:val="single" w:sz="4" w:color="E9FAF3"/>
              <w:left w:val="single" w:sz="18" w:color="14D98A"/>
              <w:bottom w:val="single" w:sz="4" w:color="E9FAF3"/>
              <w:right w:val="single" w:sz="4" w:color="E9FAF3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14D98A"/>
                <w:sz w:val="21"/>
              </w:rPr>
              <w:t>START HERE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Use this guide in order: secure your access, complete verification, learn the Marketplace, then manage reservations and notifications with confidence.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20" w:line="252" w:lineRule="auto"/>
            </w:pPr>
            <w:r>
              <w:rPr>
                <w:rFonts w:ascii="Calibri" w:hAnsi="Calibri"/>
                <w:b/>
                <w:color w:val="269BEE"/>
                <w:sz w:val="17"/>
              </w:rPr>
              <w:t>FOR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New and returning NairaFX members</w:t>
            </w:r>
          </w:p>
        </w:tc>
        <w:tc>
          <w:tcPr>
            <w:tcW w:type="dxa" w:w="468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20" w:line="252" w:lineRule="auto"/>
            </w:pPr>
            <w:r>
              <w:rPr>
                <w:rFonts w:ascii="Calibri" w:hAnsi="Calibri"/>
                <w:b/>
                <w:color w:val="269BEE"/>
                <w:sz w:val="17"/>
              </w:rPr>
              <w:t>VERSION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Member guide | August 2026</w:t>
            </w:r>
          </w:p>
        </w:tc>
      </w:tr>
      <w:tr>
        <w:tc>
          <w:tcPr>
            <w:tcW w:type="dxa" w:w="468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20" w:line="252" w:lineRule="auto"/>
            </w:pPr>
            <w:r>
              <w:rPr>
                <w:rFonts w:ascii="Calibri" w:hAnsi="Calibri"/>
                <w:b/>
                <w:color w:val="269BEE"/>
                <w:sz w:val="17"/>
              </w:rPr>
              <w:t>FOCUS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Access, verification, Marketplace, trades, notifications, and subscriptions</w:t>
            </w:r>
          </w:p>
        </w:tc>
        <w:tc>
          <w:tcPr>
            <w:tcW w:type="dxa" w:w="468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20" w:line="252" w:lineRule="auto"/>
            </w:pPr>
            <w:r>
              <w:rPr>
                <w:rFonts w:ascii="Calibri" w:hAnsi="Calibri"/>
                <w:b/>
                <w:color w:val="269BEE"/>
                <w:sz w:val="17"/>
              </w:rPr>
              <w:t>SUPPORT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support@nairafxchange.com</w:t>
            </w:r>
          </w:p>
        </w:tc>
      </w:tr>
    </w:tbl>
    <w:p/>
    <w:p>
      <w:pPr>
        <w:pStyle w:val="Heading1"/>
        <w:keepNext/>
        <w:spacing w:before="280" w:after="140" w:line="269" w:lineRule="auto"/>
      </w:pPr>
      <w:r>
        <w:rPr>
          <w:rFonts w:ascii="Calibri" w:hAnsi="Calibri"/>
          <w:b/>
          <w:color w:val="061A2E"/>
          <w:sz w:val="32"/>
        </w:rPr>
        <w:t>What NairaFX helps you do</w:t>
      </w:r>
    </w:p>
    <w:p>
      <w:pPr>
        <w:keepNext w:val="0"/>
        <w:spacing w:before="0" w:after="160" w:line="300" w:lineRule="auto"/>
      </w:pPr>
      <w:r>
        <w:rPr>
          <w:rFonts w:ascii="Calibri" w:hAnsi="Calibri"/>
          <w:b w:val="0"/>
          <w:i w:val="0"/>
          <w:color w:val="10283F"/>
          <w:sz w:val="22"/>
        </w:rPr>
        <w:t>NairaFX helps members discover exchange opportunities, compare available routes and limits, reserve a suitable offer, and manage the next agreed steps in a structured trade room. It is designed to give you clearer information and better records - not to replace your judgment, your bank, or independent financial advice.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Dashboard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Your starting point for account progress, activity, access prompts, and quick actions.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Marketplace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A view of active member listings with the currency pair, price, availability, limits, delivery estimate, member status, and payment routes.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Trade room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The private workspace where a reservation becomes an agreed transaction workflow with updates and confirmations.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Notifications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In-app and email alerts for meaningful account, listing, reservation, trade, and subscription activity.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5" w:type="dxa"/>
              <w:start w:w="180" w:type="dxa"/>
              <w:bottom w:w="125" w:type="dxa"/>
              <w:end w:w="180" w:type="dxa"/>
            </w:tcMar>
            <w:vAlign w:val="center"/>
            <w:shd w:fill="FFF8E8"/>
            <w:tcBorders>
              <w:top w:val="single" w:sz="4" w:color="FFF8E8"/>
              <w:left w:val="single" w:sz="18" w:color="F5B942"/>
              <w:bottom w:val="single" w:sz="4" w:color="FFF8E8"/>
              <w:right w:val="single" w:sz="4" w:color="FFF8E8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F5B942"/>
                <w:sz w:val="21"/>
              </w:rPr>
              <w:t>IMPORTANT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NairaFX does not ask you to send a password, email code, card PIN, or banking login to another member. Confirm the details displayed in your trade room before you act.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  <w:spacing w:before="280" w:after="140" w:line="269" w:lineRule="auto"/>
      </w:pPr>
      <w:r>
        <w:rPr>
          <w:rFonts w:ascii="Calibri" w:hAnsi="Calibri"/>
          <w:b/>
          <w:color w:val="061A2E"/>
          <w:sz w:val="32"/>
        </w:rPr>
        <w:t>Your first successful session</w:t>
      </w:r>
    </w:p>
    <w:p>
      <w:pPr>
        <w:keepNext w:val="0"/>
        <w:spacing w:before="0" w:after="160" w:line="300" w:lineRule="auto"/>
      </w:pPr>
      <w:r>
        <w:rPr>
          <w:rFonts w:ascii="Calibri" w:hAnsi="Calibri"/>
          <w:b w:val="0"/>
          <w:i w:val="0"/>
          <w:color w:val="10283F"/>
          <w:sz w:val="22"/>
        </w:rPr>
        <w:t>A strong start is simple: protect your account, complete the required checks, and only then begin using marketplace and trade features.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8560"/>
      </w:tblGrid>
      <w:tr>
        <w:tc>
          <w:tcPr>
            <w:tcW w:type="dxa" w:w="80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14D98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0" w:line="300" w:lineRule="auto"/>
              <w:jc w:val="center"/>
            </w:pPr>
            <w:r>
              <w:rPr>
                <w:rFonts w:ascii="Calibri" w:hAnsi="Calibri"/>
                <w:b/>
                <w:color w:val="061A2E"/>
                <w:sz w:val="36"/>
              </w:rPr>
              <w:t>1</w:t>
            </w:r>
          </w:p>
        </w:tc>
        <w:tc>
          <w:tcPr>
            <w:tcW w:type="dxa" w:w="85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061A2E"/>
                <w:sz w:val="22"/>
              </w:rPr>
              <w:t>Sign in and secure your email</w:t>
            </w:r>
          </w:p>
          <w:p>
            <w:pPr>
              <w:keepNext w:val="0"/>
              <w:spacing w:before="0" w:after="4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Register with your correct name and contact details. Confirm your email using the verification link or one-time code sent to your inbox.</w:t>
            </w:r>
          </w:p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/>
                <w:b/>
                <w:color w:val="14D98A"/>
                <w:sz w:val="19"/>
              </w:rPr>
              <w:t xml:space="preserve">Next action: </w:t>
            </w:r>
            <w:r>
              <w:rPr>
                <w:rFonts w:ascii="Calibri" w:hAnsi="Calibri"/>
                <w:b/>
                <w:color w:val="10283F"/>
                <w:sz w:val="19"/>
              </w:rPr>
              <w:t>If you cannot find the email, check spam/junk first, then use the resend option from the verification page.</w:t>
            </w:r>
          </w:p>
        </w:tc>
      </w:tr>
    </w:tbl>
    <w:p>
      <w:pPr>
        <w:keepNext w:val="0"/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8560"/>
      </w:tblGrid>
      <w:tr>
        <w:tc>
          <w:tcPr>
            <w:tcW w:type="dxa" w:w="80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14D98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0" w:line="300" w:lineRule="auto"/>
              <w:jc w:val="center"/>
            </w:pPr>
            <w:r>
              <w:rPr>
                <w:rFonts w:ascii="Calibri" w:hAnsi="Calibri"/>
                <w:b/>
                <w:color w:val="061A2E"/>
                <w:sz w:val="36"/>
              </w:rPr>
              <w:t>2</w:t>
            </w:r>
          </w:p>
        </w:tc>
        <w:tc>
          <w:tcPr>
            <w:tcW w:type="dxa" w:w="85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061A2E"/>
                <w:sz w:val="22"/>
              </w:rPr>
              <w:t>Complete your profile and compliance review</w:t>
            </w:r>
          </w:p>
          <w:p>
            <w:pPr>
              <w:keepNext w:val="0"/>
              <w:spacing w:before="0" w:after="4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Add accurate profile details and submit the requested documents through the verification flow. Compliance may review information before certain member features become available.</w:t>
            </w:r>
          </w:p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/>
                <w:b/>
                <w:color w:val="14D98A"/>
                <w:sz w:val="19"/>
              </w:rPr>
              <w:t xml:space="preserve">Next action: </w:t>
            </w:r>
            <w:r>
              <w:rPr>
                <w:rFonts w:ascii="Calibri" w:hAnsi="Calibri"/>
                <w:b/>
                <w:color w:val="10283F"/>
                <w:sz w:val="19"/>
              </w:rPr>
              <w:t>Use documents that are current, legible, and belong to you. Keep your profile name consistent with your supporting documents.</w:t>
            </w:r>
          </w:p>
        </w:tc>
      </w:tr>
    </w:tbl>
    <w:p>
      <w:pPr>
        <w:keepNext w:val="0"/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8560"/>
      </w:tblGrid>
      <w:tr>
        <w:tc>
          <w:tcPr>
            <w:tcW w:type="dxa" w:w="80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14D98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0" w:line="300" w:lineRule="auto"/>
              <w:jc w:val="center"/>
            </w:pPr>
            <w:r>
              <w:rPr>
                <w:rFonts w:ascii="Calibri" w:hAnsi="Calibri"/>
                <w:b/>
                <w:color w:val="061A2E"/>
                <w:sz w:val="36"/>
              </w:rPr>
              <w:t>3</w:t>
            </w:r>
          </w:p>
        </w:tc>
        <w:tc>
          <w:tcPr>
            <w:tcW w:type="dxa" w:w="85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061A2E"/>
                <w:sz w:val="22"/>
              </w:rPr>
              <w:t>Learn your Dashboard</w:t>
            </w:r>
          </w:p>
          <w:p>
            <w:pPr>
              <w:keepNext w:val="0"/>
              <w:spacing w:before="0" w:after="4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The Dashboard gives you a quick view of your account state, current membership, activity tokens where applicable, listings, reservations, trade actions, and any next required task.</w:t>
            </w:r>
          </w:p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/>
                <w:b/>
                <w:color w:val="14D98A"/>
                <w:sz w:val="19"/>
              </w:rPr>
              <w:t xml:space="preserve">Next action: </w:t>
            </w:r>
            <w:r>
              <w:rPr>
                <w:rFonts w:ascii="Calibri" w:hAnsi="Calibri"/>
                <w:b/>
                <w:color w:val="10283F"/>
                <w:sz w:val="19"/>
              </w:rPr>
              <w:t>Clear every outstanding action card before you start a live transaction.</w:t>
            </w:r>
          </w:p>
        </w:tc>
      </w:tr>
    </w:tbl>
    <w:p>
      <w:pPr>
        <w:keepNext w:val="0"/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8560"/>
      </w:tblGrid>
      <w:tr>
        <w:tc>
          <w:tcPr>
            <w:tcW w:type="dxa" w:w="80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14D98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0" w:line="300" w:lineRule="auto"/>
              <w:jc w:val="center"/>
            </w:pPr>
            <w:r>
              <w:rPr>
                <w:rFonts w:ascii="Calibri" w:hAnsi="Calibri"/>
                <w:b/>
                <w:color w:val="061A2E"/>
                <w:sz w:val="36"/>
              </w:rPr>
              <w:t>4</w:t>
            </w:r>
          </w:p>
        </w:tc>
        <w:tc>
          <w:tcPr>
            <w:tcW w:type="dxa" w:w="85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061A2E"/>
                <w:sz w:val="22"/>
              </w:rPr>
              <w:t>Set up receiving accounts and clients carefully</w:t>
            </w:r>
          </w:p>
          <w:p>
            <w:pPr>
              <w:keepNext w:val="0"/>
              <w:spacing w:before="0" w:after="4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Add only accounts you are authorised to use. For a buy listing, select an FX credit account in the currency you are buying. If third-party funds or an account are involved, use the appropriate saved client/beneficiary account.</w:t>
            </w:r>
          </w:p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/>
                <w:b/>
                <w:color w:val="14D98A"/>
                <w:sz w:val="19"/>
              </w:rPr>
              <w:t xml:space="preserve">Next action: </w:t>
            </w:r>
            <w:r>
              <w:rPr>
                <w:rFonts w:ascii="Calibri" w:hAnsi="Calibri"/>
                <w:b/>
                <w:color w:val="10283F"/>
                <w:sz w:val="19"/>
              </w:rPr>
              <w:t>Review account labels, currency and beneficiary information before saving. You can edit or remove accounts you no longer use.</w:t>
            </w:r>
          </w:p>
        </w:tc>
      </w:tr>
    </w:tbl>
    <w:p>
      <w:pPr>
        <w:keepNext w:val="0"/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5" w:type="dxa"/>
              <w:start w:w="180" w:type="dxa"/>
              <w:bottom w:w="125" w:type="dxa"/>
              <w:end w:w="180" w:type="dxa"/>
            </w:tcMar>
            <w:vAlign w:val="center"/>
            <w:shd w:fill="E9FAF3"/>
            <w:tcBorders>
              <w:top w:val="single" w:sz="4" w:color="E9FAF3"/>
              <w:left w:val="single" w:sz="18" w:color="14D98A"/>
              <w:bottom w:val="single" w:sz="4" w:color="E9FAF3"/>
              <w:right w:val="single" w:sz="4" w:color="E9FAF3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14D98A"/>
                <w:sz w:val="21"/>
              </w:rPr>
              <w:t>WHY VERIFICATION MATTERS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A complete profile helps build confidence with other members, supports compliance review, and makes it easier to use the features appropriate to your membership and activity.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80" w:after="140" w:line="269" w:lineRule="auto"/>
      </w:pPr>
      <w:r>
        <w:rPr>
          <w:rFonts w:ascii="Calibri" w:hAnsi="Calibri"/>
          <w:b/>
          <w:color w:val="061A2E"/>
          <w:sz w:val="32"/>
        </w:rPr>
        <w:t>How to read the Marketplace</w:t>
      </w:r>
    </w:p>
    <w:p>
      <w:pPr>
        <w:keepNext w:val="0"/>
        <w:spacing w:before="0" w:after="140" w:line="300" w:lineRule="auto"/>
      </w:pPr>
      <w:r>
        <w:rPr>
          <w:rFonts w:ascii="Calibri" w:hAnsi="Calibri"/>
          <w:b w:val="0"/>
          <w:i w:val="0"/>
          <w:color w:val="10283F"/>
          <w:sz w:val="22"/>
        </w:rPr>
        <w:t>The Marketplace is designed for quick comparison. Do not choose an offer on price alone; check the whole card and open the trade option only when the route, limits, delivery time, and member details fit your needs.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Currency pair and Buy/Sell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Shows the direction of the listing. For example, a Buy USD listing indicates a member seeking USD; a Sell USD listing indicates a member offering USD.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Amount available and limits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Shows the remaining amount and the lowest/highest permitted transaction size. Your intended amount must fit inside the stated limits.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Trader and rating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Shows the member name, verification badge where applicable, star rating and review count. Treat this as one factor, not a guarantee.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Member status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Shows the member's verification level, tier such as Elite or Business where available, and successful trade count.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Transaction route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Shows the FX route and Naira route separately, for example: FX route: Interac; Naira route: Bank Transfer or Cash Deposit.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Delivery time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The listing owner's expected delivery estimate. Confirm timing in the trade room; it can be affected by the agreed route and both parties' response time.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  <w:spacing w:before="280" w:after="140" w:line="269" w:lineRule="auto"/>
      </w:pPr>
      <w:r>
        <w:rPr>
          <w:rFonts w:ascii="Calibri" w:hAnsi="Calibri"/>
          <w:b/>
          <w:color w:val="061A2E"/>
          <w:sz w:val="32"/>
        </w:rPr>
        <w:t>From offer to completed trade</w:t>
      </w:r>
    </w:p>
    <w:p>
      <w:pPr>
        <w:keepNext w:val="0"/>
        <w:spacing w:before="0" w:after="160" w:line="300" w:lineRule="auto"/>
      </w:pPr>
      <w:r>
        <w:rPr>
          <w:rFonts w:ascii="Calibri" w:hAnsi="Calibri"/>
          <w:b w:val="0"/>
          <w:i w:val="0"/>
          <w:color w:val="10283F"/>
          <w:sz w:val="22"/>
        </w:rPr>
        <w:t>A reservation gives both parties a structured place to review the intended transaction. It does not remove your responsibility to read the instructions or to follow the rules and timing shown in the trade room.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8560"/>
      </w:tblGrid>
      <w:tr>
        <w:tc>
          <w:tcPr>
            <w:tcW w:type="dxa" w:w="80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14D98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0" w:line="300" w:lineRule="auto"/>
              <w:jc w:val="center"/>
            </w:pPr>
            <w:r>
              <w:rPr>
                <w:rFonts w:ascii="Calibri" w:hAnsi="Calibri"/>
                <w:b/>
                <w:color w:val="061A2E"/>
                <w:sz w:val="36"/>
              </w:rPr>
              <w:t>1</w:t>
            </w:r>
          </w:p>
        </w:tc>
        <w:tc>
          <w:tcPr>
            <w:tcW w:type="dxa" w:w="85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061A2E"/>
                <w:sz w:val="22"/>
              </w:rPr>
              <w:t>Choose or create an offer</w:t>
            </w:r>
          </w:p>
          <w:p>
            <w:pPr>
              <w:keepNext w:val="0"/>
              <w:spacing w:before="0" w:after="4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Use Marketplace filters and search where available to find a suitable listing. If there is no suitable offer, you may create a listing with an accurate price, amount, limits, delivery estimate, and permitted route.</w:t>
            </w:r>
          </w:p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/>
                <w:b/>
                <w:color w:val="14D98A"/>
                <w:sz w:val="19"/>
              </w:rPr>
              <w:t xml:space="preserve">Next action: </w:t>
            </w:r>
            <w:r>
              <w:rPr>
                <w:rFonts w:ascii="Calibri" w:hAnsi="Calibri"/>
                <w:b/>
                <w:color w:val="10283F"/>
                <w:sz w:val="19"/>
              </w:rPr>
              <w:t>Before publishing a listing, check your currency, account choice, payment route, and notes one more time.</w:t>
            </w:r>
          </w:p>
        </w:tc>
      </w:tr>
    </w:tbl>
    <w:p>
      <w:pPr>
        <w:keepNext w:val="0"/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8560"/>
      </w:tblGrid>
      <w:tr>
        <w:tc>
          <w:tcPr>
            <w:tcW w:type="dxa" w:w="80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14D98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0" w:line="300" w:lineRule="auto"/>
              <w:jc w:val="center"/>
            </w:pPr>
            <w:r>
              <w:rPr>
                <w:rFonts w:ascii="Calibri" w:hAnsi="Calibri"/>
                <w:b/>
                <w:color w:val="061A2E"/>
                <w:sz w:val="36"/>
              </w:rPr>
              <w:t>2</w:t>
            </w:r>
          </w:p>
        </w:tc>
        <w:tc>
          <w:tcPr>
            <w:tcW w:type="dxa" w:w="85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061A2E"/>
                <w:sz w:val="22"/>
              </w:rPr>
              <w:t>Reserve the amount</w:t>
            </w:r>
          </w:p>
          <w:p>
            <w:pPr>
              <w:keepNext w:val="0"/>
              <w:spacing w:before="0" w:after="4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Choose an amount within the listing limits and submit the reservation. Both parties can then see the agreed rate, amount, route, timer, and the next action in the trade room.</w:t>
            </w:r>
          </w:p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/>
                <w:b/>
                <w:color w:val="14D98A"/>
                <w:sz w:val="19"/>
              </w:rPr>
              <w:t xml:space="preserve">Next action: </w:t>
            </w:r>
            <w:r>
              <w:rPr>
                <w:rFonts w:ascii="Calibri" w:hAnsi="Calibri"/>
                <w:b/>
                <w:color w:val="10283F"/>
                <w:sz w:val="19"/>
              </w:rPr>
              <w:t>Do not reserve an amount you are not ready and authorised to complete.</w:t>
            </w:r>
          </w:p>
        </w:tc>
      </w:tr>
    </w:tbl>
    <w:p>
      <w:pPr>
        <w:keepNext w:val="0"/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8560"/>
      </w:tblGrid>
      <w:tr>
        <w:tc>
          <w:tcPr>
            <w:tcW w:type="dxa" w:w="80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14D98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0" w:line="300" w:lineRule="auto"/>
              <w:jc w:val="center"/>
            </w:pPr>
            <w:r>
              <w:rPr>
                <w:rFonts w:ascii="Calibri" w:hAnsi="Calibri"/>
                <w:b/>
                <w:color w:val="061A2E"/>
                <w:sz w:val="36"/>
              </w:rPr>
              <w:t>3</w:t>
            </w:r>
          </w:p>
        </w:tc>
        <w:tc>
          <w:tcPr>
            <w:tcW w:type="dxa" w:w="85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061A2E"/>
                <w:sz w:val="22"/>
              </w:rPr>
              <w:t>Follow the trade-room instructions</w:t>
            </w:r>
          </w:p>
          <w:p>
            <w:pPr>
              <w:keepNext w:val="0"/>
              <w:spacing w:before="0" w:after="4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The trade room records status updates such as payment commitment, confirmation, delivery, buyer confirmation, completion, cancellation, or dispute. Use the correct action at the correct time.</w:t>
            </w:r>
          </w:p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/>
                <w:b/>
                <w:color w:val="14D98A"/>
                <w:sz w:val="19"/>
              </w:rPr>
              <w:t xml:space="preserve">Next action: </w:t>
            </w:r>
            <w:r>
              <w:rPr>
                <w:rFonts w:ascii="Calibri" w:hAnsi="Calibri"/>
                <w:b/>
                <w:color w:val="10283F"/>
                <w:sz w:val="19"/>
              </w:rPr>
              <w:t>Keep payment references and permitted proof inside the designated flow. Do not move a live trade to an unrecorded channel.</w:t>
            </w:r>
          </w:p>
        </w:tc>
      </w:tr>
    </w:tbl>
    <w:p>
      <w:pPr>
        <w:keepNext w:val="0"/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8560"/>
      </w:tblGrid>
      <w:tr>
        <w:tc>
          <w:tcPr>
            <w:tcW w:type="dxa" w:w="80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14D98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0" w:line="300" w:lineRule="auto"/>
              <w:jc w:val="center"/>
            </w:pPr>
            <w:r>
              <w:rPr>
                <w:rFonts w:ascii="Calibri" w:hAnsi="Calibri"/>
                <w:b/>
                <w:color w:val="061A2E"/>
                <w:sz w:val="36"/>
              </w:rPr>
              <w:t>4</w:t>
            </w:r>
          </w:p>
        </w:tc>
        <w:tc>
          <w:tcPr>
            <w:tcW w:type="dxa" w:w="856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F4F7FA"/>
            <w:tcBorders>
              <w:top w:val="single" w:sz="8" w:color="D8E3EB"/>
              <w:left w:val="single" w:sz="8" w:color="D8E3EB"/>
              <w:bottom w:val="single" w:sz="8" w:color="D8E3EB"/>
              <w:right w:val="single" w:sz="8" w:color="D8E3EB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061A2E"/>
                <w:sz w:val="22"/>
              </w:rPr>
              <w:t>Confirm, review and close</w:t>
            </w:r>
          </w:p>
          <w:p>
            <w:pPr>
              <w:keepNext w:val="0"/>
              <w:spacing w:before="0" w:after="4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When the required actions are complete, confirm honestly and promptly. Completed trades may contribute to member activity and trust information visible on later listings.</w:t>
            </w:r>
          </w:p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/>
                <w:b/>
                <w:color w:val="14D98A"/>
                <w:sz w:val="19"/>
              </w:rPr>
              <w:t xml:space="preserve">Next action: </w:t>
            </w:r>
            <w:r>
              <w:rPr>
                <w:rFonts w:ascii="Calibri" w:hAnsi="Calibri"/>
                <w:b/>
                <w:color w:val="10283F"/>
                <w:sz w:val="19"/>
              </w:rPr>
              <w:t>If something is wrong, use the dispute/support process rather than guessing or pressuring the other member.</w:t>
            </w:r>
          </w:p>
        </w:tc>
      </w:tr>
    </w:tbl>
    <w:p>
      <w:pPr>
        <w:keepNext w:val="0"/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5" w:type="dxa"/>
              <w:start w:w="180" w:type="dxa"/>
              <w:bottom w:w="125" w:type="dxa"/>
              <w:end w:w="180" w:type="dxa"/>
            </w:tcMar>
            <w:vAlign w:val="center"/>
            <w:shd w:fill="FFF8E8"/>
            <w:tcBorders>
              <w:top w:val="single" w:sz="4" w:color="FFF8E8"/>
              <w:left w:val="single" w:sz="18" w:color="F5B942"/>
              <w:bottom w:val="single" w:sz="4" w:color="FFF8E8"/>
              <w:right w:val="single" w:sz="4" w:color="FFF8E8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F5B942"/>
                <w:sz w:val="21"/>
              </w:rPr>
              <w:t>SAFER TRADING HABIT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Always compare the amount, rate, currency, route, recipient/account details, and deadline in the trade room before you pay or confirm. If any detail changes unexpectedly, pause and contact support.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80" w:after="140" w:line="269" w:lineRule="auto"/>
      </w:pPr>
      <w:r>
        <w:rPr>
          <w:rFonts w:ascii="Calibri" w:hAnsi="Calibri"/>
          <w:b/>
          <w:color w:val="061A2E"/>
          <w:sz w:val="32"/>
        </w:rPr>
        <w:t>Creating a good listing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Use the right type: Buy when you are seeking the foreign currency; Sell when you are offering it.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Use a realistic amount, rate, minimum and maximum trade range. Clear notes reduce failed reservations.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For a Buy listing, choose the saved FX credit account that matches the currency being bought. For a Sell listing, use the appropriate Naira receiving account.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Show the actual transaction route. For example, FX route: Zelle or Interac; Naira route: Bank Transfer and/or Cash Deposit.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Set an honest delivery estimate and keep the listing current. The form clears after a successful listing is created to help avoid duplicates.</w:t>
      </w:r>
    </w:p>
    <w:p>
      <w:pPr>
        <w:pStyle w:val="Heading1"/>
        <w:keepNext/>
        <w:spacing w:before="280" w:after="140" w:line="269" w:lineRule="auto"/>
      </w:pPr>
      <w:r>
        <w:rPr>
          <w:rFonts w:ascii="Calibri" w:hAnsi="Calibri"/>
          <w:b/>
          <w:color w:val="061A2E"/>
          <w:sz w:val="32"/>
        </w:rPr>
        <w:t>Deals and special opportunities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10283F"/>
          <w:sz w:val="22"/>
        </w:rPr>
        <w:t>NairaFX may publish managed Deals such as Zone 4, Lagos, or special rates. Some Deals may be available only to eligible membership levels, including Gold and above. A Deal can identify a designated member responsible for the opportunity and direct interested members to the correct transaction path.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5" w:type="dxa"/>
              <w:start w:w="180" w:type="dxa"/>
              <w:bottom w:w="125" w:type="dxa"/>
              <w:end w:w="180" w:type="dxa"/>
            </w:tcMar>
            <w:vAlign w:val="center"/>
            <w:shd w:fill="EAF5FC"/>
            <w:tcBorders>
              <w:top w:val="single" w:sz="4" w:color="EAF5FC"/>
              <w:left w:val="single" w:sz="18" w:color="269BEE"/>
              <w:bottom w:val="single" w:sz="4" w:color="EAF5FC"/>
              <w:right w:val="single" w:sz="4" w:color="EAF5FC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269BEE"/>
                <w:sz w:val="21"/>
              </w:rPr>
              <w:t>BEFORE YOU EXPRESS INTEREST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Review the deal's currency, amount, validity, route, terms, and assigned contact. A published deal is information for eligible members; it is not a guaranteed rate or automatic settlement.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  <w:spacing w:before="280" w:after="140" w:line="269" w:lineRule="auto"/>
      </w:pPr>
      <w:r>
        <w:rPr>
          <w:rFonts w:ascii="Calibri" w:hAnsi="Calibri"/>
          <w:b/>
          <w:color w:val="061A2E"/>
          <w:sz w:val="32"/>
        </w:rPr>
        <w:t>Notifications: your activity control centre</w:t>
      </w:r>
    </w:p>
    <w:p>
      <w:pPr>
        <w:keepNext w:val="0"/>
        <w:spacing w:before="0" w:after="140" w:line="300" w:lineRule="auto"/>
      </w:pPr>
      <w:r>
        <w:rPr>
          <w:rFonts w:ascii="Calibri" w:hAnsi="Calibri"/>
          <w:b w:val="0"/>
          <w:i w:val="0"/>
          <w:color w:val="10283F"/>
          <w:sz w:val="22"/>
        </w:rPr>
        <w:t>Notifications keep meaningful events from getting lost. Check the in-app notification centre and the email inbox connected to your NairaFX account regularly.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New listing alerts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Members may receive alerts about new listings and relevant Marketplace activity.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Reservation alerts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The listing owner and requesting member receive relevant updates when a reservation is created or changes state.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Trade action alerts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Important trade-room events can trigger notices when payment is committed, confirmed, delivery is marked, a trade completes, is cancelled, or requires attention.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Verification notices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Email verification, one-time codes, document/compliance prompts, and account-progress reminders help you unlock the appropriate access.</w:t>
            </w:r>
          </w:p>
        </w:tc>
      </w:tr>
      <w:tr>
        <w:tc>
          <w:tcPr>
            <w:tcW w:type="dxa" w:w="270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b/>
                <w:color w:val="061A2E"/>
                <w:sz w:val="20"/>
              </w:rPr>
              <w:t>Subscription reports</w:t>
            </w:r>
          </w:p>
        </w:tc>
        <w:tc>
          <w:tcPr>
            <w:tcW w:type="dxa" w:w="666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/>
                <w:color w:val="10283F"/>
                <w:sz w:val="20"/>
              </w:rPr>
              <w:t>Rate subscribers can receive their selected market/rate updates at the available report frequency.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5" w:type="dxa"/>
              <w:start w:w="180" w:type="dxa"/>
              <w:bottom w:w="125" w:type="dxa"/>
              <w:end w:w="180" w:type="dxa"/>
            </w:tcMar>
            <w:vAlign w:val="center"/>
            <w:shd w:fill="E9FAF3"/>
            <w:tcBorders>
              <w:top w:val="single" w:sz="4" w:color="E9FAF3"/>
              <w:left w:val="single" w:sz="18" w:color="14D98A"/>
              <w:bottom w:val="single" w:sz="4" w:color="E9FAF3"/>
              <w:right w:val="single" w:sz="4" w:color="E9FAF3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14D98A"/>
                <w:sz w:val="21"/>
              </w:rPr>
              <w:t>KEEP YOUR EMAIL CURRENT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If your email address is outdated, update it through your account process before relying on time-sensitive trade or verification notices. Add NairaFX communications to your safe-sender list if your provider allows it.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80" w:after="140" w:line="269" w:lineRule="auto"/>
      </w:pPr>
      <w:r>
        <w:rPr>
          <w:rFonts w:ascii="Calibri" w:hAnsi="Calibri"/>
          <w:b/>
          <w:color w:val="061A2E"/>
          <w:sz w:val="32"/>
        </w:rPr>
        <w:t>Why subscriptions and membership plans can help</w:t>
      </w:r>
    </w:p>
    <w:p>
      <w:pPr>
        <w:keepNext w:val="0"/>
        <w:spacing w:before="0" w:after="140" w:line="300" w:lineRule="auto"/>
      </w:pPr>
      <w:r>
        <w:rPr>
          <w:rFonts w:ascii="Calibri" w:hAnsi="Calibri"/>
          <w:b w:val="0"/>
          <w:i w:val="0"/>
          <w:color w:val="10283F"/>
          <w:sz w:val="22"/>
        </w:rPr>
        <w:t>There are two related ways to get more value from NairaFX. A rate-update subscription keeps you connected to market information. A membership plan can provide enhanced trading access and activity allowances, depending on the plan currently offered to you.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20"/>
        <w:gridCol w:w="3420"/>
        <w:gridCol w:w="3420"/>
      </w:tblGrid>
      <w:tr>
        <w:trPr>
          <w:tblHeader w:val="true"/>
        </w:trPr>
        <w:tc>
          <w:tcPr>
            <w:tcW w:type="dxa" w:w="252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061A2E"/>
            <w:tcBorders>
              <w:top w:val="single" w:sz="8" w:color="061A2E"/>
              <w:left w:val="single" w:sz="8" w:color="061A2E"/>
              <w:bottom w:val="single" w:sz="8" w:color="061A2E"/>
              <w:right w:val="single" w:sz="8" w:color="061A2E"/>
            </w:tcBorders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/>
                <w:b/>
                <w:color w:val="FFFFFF"/>
                <w:sz w:val="20"/>
              </w:rPr>
              <w:t>Option</w:t>
            </w:r>
          </w:p>
        </w:tc>
        <w:tc>
          <w:tcPr>
            <w:tcW w:type="dxa" w:w="342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061A2E"/>
            <w:tcBorders>
              <w:top w:val="single" w:sz="8" w:color="061A2E"/>
              <w:left w:val="single" w:sz="8" w:color="061A2E"/>
              <w:bottom w:val="single" w:sz="8" w:color="061A2E"/>
              <w:right w:val="single" w:sz="8" w:color="061A2E"/>
            </w:tcBorders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/>
                <w:b/>
                <w:color w:val="FFFFFF"/>
                <w:sz w:val="20"/>
              </w:rPr>
              <w:t>How it helps</w:t>
            </w:r>
          </w:p>
        </w:tc>
        <w:tc>
          <w:tcPr>
            <w:tcW w:type="dxa" w:w="3420"/>
            <w:tcMar>
              <w:top w:w="110" w:type="dxa"/>
              <w:start w:w="150" w:type="dxa"/>
              <w:bottom w:w="110" w:type="dxa"/>
              <w:end w:w="150" w:type="dxa"/>
            </w:tcMar>
            <w:vAlign w:val="center"/>
            <w:shd w:fill="061A2E"/>
            <w:tcBorders>
              <w:top w:val="single" w:sz="8" w:color="061A2E"/>
              <w:left w:val="single" w:sz="8" w:color="061A2E"/>
              <w:bottom w:val="single" w:sz="8" w:color="061A2E"/>
              <w:right w:val="single" w:sz="8" w:color="061A2E"/>
            </w:tcBorders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/>
                <w:b/>
                <w:color w:val="FFFFFF"/>
                <w:sz w:val="20"/>
              </w:rPr>
              <w:t>Use it well</w:t>
            </w:r>
          </w:p>
        </w:tc>
      </w:tr>
      <w:tr>
        <w:tc>
          <w:tcPr>
            <w:tcW w:type="dxa" w:w="252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8" w:lineRule="auto"/>
            </w:pPr>
            <w:r>
              <w:rPr>
                <w:rFonts w:ascii="Calibri" w:hAnsi="Calibri"/>
                <w:b/>
                <w:color w:val="061A2E"/>
                <w:sz w:val="19"/>
              </w:rPr>
              <w:t>Rate-update subscription</w:t>
            </w:r>
          </w:p>
        </w:tc>
        <w:tc>
          <w:tcPr>
            <w:tcW w:type="dxa" w:w="342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8" w:lineRule="auto"/>
            </w:pPr>
            <w:r>
              <w:rPr>
                <w:rFonts w:ascii="Calibri" w:hAnsi="Calibri"/>
                <w:b w:val="0"/>
                <w:color w:val="10283F"/>
                <w:sz w:val="19"/>
              </w:rPr>
              <w:t>Helps you receive regular NairaFX market/rate reports and stay aware of changes that may matter to you.</w:t>
            </w:r>
          </w:p>
        </w:tc>
        <w:tc>
          <w:tcPr>
            <w:tcW w:type="dxa" w:w="342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8" w:lineRule="auto"/>
            </w:pPr>
            <w:r>
              <w:rPr>
                <w:rFonts w:ascii="Calibri" w:hAnsi="Calibri"/>
                <w:b w:val="0"/>
                <w:color w:val="10283F"/>
                <w:sz w:val="19"/>
              </w:rPr>
              <w:t>Choose a frequency you can review. Treat every report as market information, not personal financial advice or a binding quote.</w:t>
            </w:r>
          </w:p>
        </w:tc>
      </w:tr>
      <w:tr>
        <w:tc>
          <w:tcPr>
            <w:tcW w:type="dxa" w:w="252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8" w:lineRule="auto"/>
            </w:pPr>
            <w:r>
              <w:rPr>
                <w:rFonts w:ascii="Calibri" w:hAnsi="Calibri"/>
                <w:b/>
                <w:color w:val="061A2E"/>
                <w:sz w:val="19"/>
              </w:rPr>
              <w:t>Membership plan</w:t>
            </w:r>
          </w:p>
        </w:tc>
        <w:tc>
          <w:tcPr>
            <w:tcW w:type="dxa" w:w="342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8" w:lineRule="auto"/>
            </w:pPr>
            <w:r>
              <w:rPr>
                <w:rFonts w:ascii="Calibri" w:hAnsi="Calibri"/>
                <w:b w:val="0"/>
                <w:color w:val="10283F"/>
                <w:sz w:val="19"/>
              </w:rPr>
              <w:t>May provide access to stronger Marketplace tools, filters, visibility features, analytics, support options, or activity-token allowances, depending on the plan.</w:t>
            </w:r>
          </w:p>
        </w:tc>
        <w:tc>
          <w:tcPr>
            <w:tcW w:type="dxa" w:w="342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8" w:lineRule="auto"/>
            </w:pPr>
            <w:r>
              <w:rPr>
                <w:rFonts w:ascii="Calibri" w:hAnsi="Calibri"/>
                <w:b w:val="0"/>
                <w:color w:val="10283F"/>
                <w:sz w:val="19"/>
              </w:rPr>
              <w:t>Check your Plans page for the current allowances, expiry date, and the exact features connected to your membership.</w:t>
            </w:r>
          </w:p>
        </w:tc>
      </w:tr>
      <w:tr>
        <w:tc>
          <w:tcPr>
            <w:tcW w:type="dxa" w:w="2520"/>
            <w:shd w:fill="F4F7FA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8" w:lineRule="auto"/>
            </w:pPr>
            <w:r>
              <w:rPr>
                <w:rFonts w:ascii="Calibri" w:hAnsi="Calibri"/>
                <w:b/>
                <w:color w:val="061A2E"/>
                <w:sz w:val="19"/>
              </w:rPr>
              <w:t>Activity tokens</w:t>
            </w:r>
          </w:p>
        </w:tc>
        <w:tc>
          <w:tcPr>
            <w:tcW w:type="dxa" w:w="342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8" w:lineRule="auto"/>
            </w:pPr>
            <w:r>
              <w:rPr>
                <w:rFonts w:ascii="Calibri" w:hAnsi="Calibri"/>
                <w:b w:val="0"/>
                <w:color w:val="10283F"/>
                <w:sz w:val="19"/>
              </w:rPr>
              <w:t>May be used for selected actions such as creating listings, price edits, reservations, or featured visibility where enabled.</w:t>
            </w:r>
          </w:p>
        </w:tc>
        <w:tc>
          <w:tcPr>
            <w:tcW w:type="dxa" w:w="3420"/>
            <w:shd w:fill="FFFFFF"/>
            <w:tcBorders>
              <w:top w:val="single" w:sz="6" w:color="D8E3EB"/>
              <w:left w:val="single" w:sz="6" w:color="D8E3EB"/>
              <w:bottom w:val="single" w:sz="6" w:color="D8E3EB"/>
              <w:right w:val="single" w:sz="6" w:color="D8E3EB"/>
            </w:tcBorders>
          </w:tcPr>
          <w:p>
            <w:pPr>
              <w:keepNext w:val="0"/>
              <w:spacing w:before="0" w:after="0" w:line="278" w:lineRule="auto"/>
            </w:pPr>
            <w:r>
              <w:rPr>
                <w:rFonts w:ascii="Calibri" w:hAnsi="Calibri"/>
                <w:b w:val="0"/>
                <w:color w:val="10283F"/>
                <w:sz w:val="19"/>
              </w:rPr>
              <w:t>Use the Token Store only when you understand the product and the action it supports. Keep receipts and order references.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5" w:type="dxa"/>
              <w:start w:w="180" w:type="dxa"/>
              <w:bottom w:w="125" w:type="dxa"/>
              <w:end w:w="180" w:type="dxa"/>
            </w:tcMar>
            <w:vAlign w:val="center"/>
            <w:shd w:fill="FFF8E8"/>
            <w:tcBorders>
              <w:top w:val="single" w:sz="4" w:color="FFF8E8"/>
              <w:left w:val="single" w:sz="18" w:color="F5B942"/>
              <w:bottom w:val="single" w:sz="4" w:color="FFF8E8"/>
              <w:right w:val="single" w:sz="4" w:color="FFF8E8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F5B942"/>
                <w:sz w:val="21"/>
              </w:rPr>
              <w:t>A SIMPLE ROUTINE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Use subscriptions for awareness, your plan for the tools you genuinely need, and activity tokens for deliberate actions. This helps you avoid purchasing access you will not use.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80" w:after="140" w:line="269" w:lineRule="auto"/>
      </w:pPr>
      <w:r>
        <w:rPr>
          <w:rFonts w:ascii="Calibri" w:hAnsi="Calibri"/>
          <w:b/>
          <w:color w:val="061A2E"/>
          <w:sz w:val="32"/>
        </w:rPr>
        <w:t>Your 20-minute NairaFX checklist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Confirm your email with the verification link or one-time code.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Review your Dashboard and clear any action card that needs attention.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Complete your profile and submit requested verification documents.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Add or review your receiving accounts and any permitted client/beneficiary details.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Open Marketplace and practise reading a listing card before reserving a real amount.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Review your notification settings and add NairaFX email to your safe-sender list.</w:t>
      </w:r>
    </w:p>
    <w:p>
      <w:pPr>
        <w:pStyle w:val="ListBullet"/>
        <w:keepNext w:val="0"/>
        <w:spacing w:before="0" w:after="80" w:line="300" w:lineRule="auto"/>
      </w:pPr>
      <w:r>
        <w:rPr>
          <w:rFonts w:ascii="Calibri" w:hAnsi="Calibri"/>
          <w:color w:val="10283F"/>
          <w:sz w:val="21"/>
        </w:rPr>
        <w:t>Check Plans / Token Store only when you understand the benefit you are buying.</w:t>
      </w:r>
    </w:p>
    <w:p>
      <w:pPr>
        <w:pStyle w:val="Heading1"/>
        <w:keepNext/>
        <w:spacing w:before="280" w:after="140" w:line="269" w:lineRule="auto"/>
      </w:pPr>
      <w:r>
        <w:rPr>
          <w:rFonts w:ascii="Calibri" w:hAnsi="Calibri"/>
          <w:b/>
          <w:color w:val="061A2E"/>
          <w:sz w:val="32"/>
        </w:rPr>
        <w:t>Need help?</w:t>
      </w:r>
    </w:p>
    <w:p>
      <w:pPr>
        <w:keepNext w:val="0"/>
        <w:spacing w:before="0" w:after="160" w:line="300" w:lineRule="auto"/>
      </w:pPr>
      <w:r>
        <w:rPr>
          <w:rFonts w:ascii="Calibri" w:hAnsi="Calibri"/>
          <w:b w:val="0"/>
          <w:i w:val="0"/>
          <w:color w:val="10283F"/>
          <w:sz w:val="22"/>
        </w:rPr>
        <w:t>For account, verification, Marketplace, reservation, trade-room, subscription or token-store assistance, contact support@nairafxchange.com. Include your registered email and, where relevant, the listing, reservation, or trade reference. Never include your password, email code, PIN, full card number, or banking login.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5" w:type="dxa"/>
              <w:start w:w="180" w:type="dxa"/>
              <w:bottom w:w="125" w:type="dxa"/>
              <w:end w:w="180" w:type="dxa"/>
            </w:tcMar>
            <w:vAlign w:val="center"/>
            <w:shd w:fill="E9FAF3"/>
            <w:tcBorders>
              <w:top w:val="single" w:sz="4" w:color="E9FAF3"/>
              <w:left w:val="single" w:sz="18" w:color="14D98A"/>
              <w:bottom w:val="single" w:sz="4" w:color="E9FAF3"/>
              <w:right w:val="single" w:sz="4" w:color="E9FAF3"/>
            </w:tcBorders>
          </w:tcPr>
          <w:p>
            <w:pPr>
              <w:keepNext w:val="0"/>
              <w:spacing w:before="0" w:after="40" w:line="264" w:lineRule="auto"/>
            </w:pPr>
            <w:r>
              <w:rPr>
                <w:rFonts w:ascii="Calibri" w:hAnsi="Calibri"/>
                <w:b/>
                <w:color w:val="14D98A"/>
                <w:sz w:val="21"/>
              </w:rPr>
              <w:t>FINAL REMINDER</w:t>
            </w:r>
          </w:p>
          <w:p>
            <w:pPr>
              <w:keepNext w:val="0"/>
              <w:spacing w:before="0" w:after="0" w:line="288" w:lineRule="auto"/>
            </w:pPr>
            <w:r>
              <w:rPr>
                <w:rFonts w:ascii="Calibri" w:hAnsi="Calibri"/>
                <w:color w:val="10283F"/>
                <w:sz w:val="20"/>
              </w:rPr>
              <w:t>NairaFX supports a structured member-to-member workflow. You remain responsible for your decisions, legal obligations, the information you provide, and the details you confirm in each transaction.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037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color w:val="66788A"/>
        <w:sz w:val="17"/>
      </w:rPr>
      <w:t xml:space="preserve">NairaFX Member Guide  |  </w:t>
    </w:r>
    <w:r>
      <w:rPr>
        <w:rFonts w:ascii="Calibri" w:hAnsi="Calibri"/>
        <w:color w:val="66788A"/>
        <w:sz w:val="17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</w:pPr>
    <w:r>
      <w:rPr>
        <w:rFonts w:ascii="Calibri" w:hAnsi="Calibri"/>
        <w:b/>
        <w:color w:val="061A2E"/>
        <w:sz w:val="19"/>
      </w:rPr>
      <w:t>NAIRA</w:t>
    </w:r>
    <w:r>
      <w:rPr>
        <w:rFonts w:ascii="Calibri" w:hAnsi="Calibri"/>
        <w:b/>
        <w:color w:val="14D98A"/>
        <w:sz w:val="19"/>
      </w:rPr>
      <w:t>FX</w:t>
    </w:r>
    <w:r>
      <w:rPr>
        <w:rFonts w:ascii="Calibri" w:hAnsi="Calibri"/>
        <w:b/>
        <w:color w:val="66788A"/>
        <w:sz w:val="17"/>
      </w:rPr>
      <w:t xml:space="preserve">  |  MEMBER SUCCESS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0283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061A2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69BE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0283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NairaFX Member Guide</dc:title>
  <dc:subject>New-member onboarding and platform walkthrough</dc:subject>
  <dc:creator>NairaFX</dc:creator>
  <cp:keywords/>
  <dc:description>Member guide generated for NairaFX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